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14" w:rsidRPr="006E157F" w:rsidRDefault="005D4B14" w:rsidP="005D4B14">
      <w:pPr>
        <w:jc w:val="center"/>
        <w:rPr>
          <w:rFonts w:ascii="Times New Roman" w:hAnsi="Times New Roman" w:cs="Times New Roman"/>
          <w:b/>
          <w:color w:val="C00000"/>
          <w:sz w:val="36"/>
          <w:szCs w:val="36"/>
          <w:lang w:val="es-ES"/>
        </w:rPr>
      </w:pPr>
      <w:r w:rsidRPr="006E157F">
        <w:rPr>
          <w:rFonts w:ascii="Times New Roman" w:hAnsi="Times New Roman" w:cs="Times New Roman"/>
          <w:b/>
          <w:color w:val="C00000"/>
          <w:sz w:val="36"/>
          <w:szCs w:val="36"/>
          <w:lang w:val="es-ES"/>
        </w:rPr>
        <w:t>Sobre el Ayuno</w:t>
      </w:r>
    </w:p>
    <w:p w:rsidR="005D4B14" w:rsidRPr="006E157F" w:rsidRDefault="005D4B14" w:rsidP="005D4B14">
      <w:pPr>
        <w:jc w:val="center"/>
        <w:rPr>
          <w:rFonts w:ascii="Times New Roman" w:hAnsi="Times New Roman" w:cs="Times New Roman"/>
          <w:color w:val="C00000"/>
          <w:sz w:val="36"/>
          <w:szCs w:val="36"/>
          <w:lang w:val="es-ES"/>
        </w:rPr>
      </w:pPr>
    </w:p>
    <w:p w:rsidR="005D4B14" w:rsidRPr="005D4B14" w:rsidRDefault="005D4B14" w:rsidP="005D4B14">
      <w:pPr>
        <w:ind w:firstLine="708"/>
        <w:jc w:val="both"/>
        <w:rPr>
          <w:lang w:val="es-ES"/>
        </w:rPr>
      </w:pPr>
      <w:r w:rsidRPr="005D4B14">
        <w:rPr>
          <w:lang w:val="es-ES"/>
        </w:rPr>
        <w:t>EL AYUNO CRISTIANO deriva de las enseñanzas de Jesucristo. Él mismo ayunó, habló sobre el ayuno y enseñó a sus discípulos a ayunar. Las Sagradas Escrituras testifican que los apóstoles y los primeros cristianos ayunaban, y así fue a través de toda la historia de la Iglesia hasta el día de hoy. "El ayuno ha guiado a todos los santos en sus vidas según Dios” (San Basilio el Grande). El objetivo del ayuno es la purificación del cuerpo, el fortalecimiento de la voluntad, la elevación del alma sobre el cuerpo, pero por sobre todo para glorificar a Dios y honrar a Sus Santos. El verdadero ayuno tiene dos lados: el corporal y el espiritual. Consiste tanto en la abstinencia de alimentos grasos, como en la abstinencia de malos pensamientos, deseos y acciones, en acrecentar las oraciones, la caridad y la realización de todas las virtudes evangélicas. Así, San Basilio advierte: "El beneficio del ayuno no se limita sólo a la abstinencia de comidas no buenas,  ya que el verdadero ayuno nos aleja de los malos actos”.</w:t>
      </w:r>
    </w:p>
    <w:p w:rsidR="005D4B14" w:rsidRDefault="005D4B14" w:rsidP="005D4B14">
      <w:pPr>
        <w:jc w:val="both"/>
        <w:rPr>
          <w:lang w:val="es-AR"/>
        </w:rPr>
      </w:pPr>
    </w:p>
    <w:p w:rsidR="005D4B14" w:rsidRDefault="005D4B14" w:rsidP="005D4B14">
      <w:pPr>
        <w:jc w:val="center"/>
        <w:rPr>
          <w:b/>
          <w:color w:val="FF0000"/>
          <w:lang w:val="es-AR"/>
        </w:rPr>
      </w:pPr>
      <w:r w:rsidRPr="005D4B14">
        <w:rPr>
          <w:b/>
          <w:color w:val="FF0000"/>
          <w:lang w:val="es-AR"/>
        </w:rPr>
        <w:t>Ayunos</w:t>
      </w:r>
    </w:p>
    <w:p w:rsidR="005D4B14" w:rsidRPr="002B742F" w:rsidRDefault="005D4B14" w:rsidP="005D4B14">
      <w:pPr>
        <w:jc w:val="center"/>
        <w:rPr>
          <w:color w:val="FF0000"/>
          <w:lang w:val="es-AR"/>
        </w:rPr>
      </w:pPr>
      <w:r w:rsidRPr="002B742F">
        <w:rPr>
          <w:color w:val="FF0000"/>
          <w:lang w:val="es-AR"/>
        </w:rPr>
        <w:t>(</w:t>
      </w:r>
      <w:proofErr w:type="gramStart"/>
      <w:r w:rsidRPr="002B742F">
        <w:rPr>
          <w:color w:val="FF0000"/>
          <w:lang w:val="es-AR"/>
        </w:rPr>
        <w:t>los</w:t>
      </w:r>
      <w:proofErr w:type="gramEnd"/>
      <w:r w:rsidRPr="002B742F">
        <w:rPr>
          <w:color w:val="FF0000"/>
          <w:lang w:val="es-AR"/>
        </w:rPr>
        <w:t xml:space="preserve"> datos según el antiguo calendario están entre paréntesis)</w:t>
      </w:r>
    </w:p>
    <w:p w:rsidR="005D4B14" w:rsidRPr="000F36F4" w:rsidRDefault="005D4B14" w:rsidP="005D4B14">
      <w:pPr>
        <w:jc w:val="both"/>
        <w:rPr>
          <w:color w:val="FF0000"/>
        </w:rPr>
      </w:pPr>
      <w:proofErr w:type="spellStart"/>
      <w:r w:rsidRPr="000F36F4">
        <w:rPr>
          <w:color w:val="FF0000"/>
        </w:rPr>
        <w:t>Ayunos</w:t>
      </w:r>
      <w:proofErr w:type="spellEnd"/>
      <w:r w:rsidRPr="000F36F4">
        <w:rPr>
          <w:color w:val="FF0000"/>
        </w:rPr>
        <w:t xml:space="preserve"> de </w:t>
      </w:r>
      <w:proofErr w:type="spellStart"/>
      <w:r w:rsidRPr="000F36F4">
        <w:rPr>
          <w:color w:val="FF0000"/>
        </w:rPr>
        <w:t>varios</w:t>
      </w:r>
      <w:proofErr w:type="spellEnd"/>
      <w:r w:rsidRPr="000F36F4">
        <w:rPr>
          <w:color w:val="FF0000"/>
        </w:rPr>
        <w:t xml:space="preserve"> </w:t>
      </w:r>
      <w:proofErr w:type="spellStart"/>
      <w:r w:rsidRPr="000F36F4">
        <w:rPr>
          <w:color w:val="FF0000"/>
        </w:rPr>
        <w:t>días</w:t>
      </w:r>
      <w:proofErr w:type="spellEnd"/>
      <w:r w:rsidRPr="000F36F4">
        <w:rPr>
          <w:color w:val="FF0000"/>
        </w:rPr>
        <w:t>:</w:t>
      </w:r>
    </w:p>
    <w:p w:rsidR="005D4B14" w:rsidRDefault="005D4B14" w:rsidP="005D4B14">
      <w:pPr>
        <w:pStyle w:val="Prrafodelista"/>
        <w:numPr>
          <w:ilvl w:val="0"/>
          <w:numId w:val="1"/>
        </w:numPr>
        <w:jc w:val="both"/>
        <w:rPr>
          <w:sz w:val="24"/>
          <w:szCs w:val="24"/>
        </w:rPr>
      </w:pPr>
      <w:r w:rsidRPr="005D4B14">
        <w:rPr>
          <w:sz w:val="24"/>
          <w:szCs w:val="24"/>
        </w:rPr>
        <w:t>Gran Cuaresma y Semana</w:t>
      </w:r>
      <w:r>
        <w:rPr>
          <w:sz w:val="24"/>
          <w:szCs w:val="24"/>
        </w:rPr>
        <w:t xml:space="preserve"> Santa (Período de preparación para la Pascua de Resurrección del Señor) (sus fechas son variables cada año)</w:t>
      </w:r>
    </w:p>
    <w:p w:rsidR="005D4B14" w:rsidRDefault="005D4B14" w:rsidP="005D4B14">
      <w:pPr>
        <w:pStyle w:val="Prrafodelista"/>
        <w:numPr>
          <w:ilvl w:val="0"/>
          <w:numId w:val="1"/>
        </w:numPr>
        <w:jc w:val="both"/>
        <w:rPr>
          <w:sz w:val="24"/>
          <w:szCs w:val="24"/>
        </w:rPr>
      </w:pPr>
      <w:r w:rsidRPr="005D4B14">
        <w:rPr>
          <w:sz w:val="24"/>
          <w:szCs w:val="24"/>
        </w:rPr>
        <w:t>Ayuno de San Pedro y San Pablo</w:t>
      </w:r>
      <w:r>
        <w:rPr>
          <w:sz w:val="24"/>
          <w:szCs w:val="24"/>
        </w:rPr>
        <w:t xml:space="preserve"> (sus fechas son variables cada año)</w:t>
      </w:r>
    </w:p>
    <w:p w:rsidR="005D4B14" w:rsidRPr="005D4B14" w:rsidRDefault="005D4B14" w:rsidP="005D4B14">
      <w:pPr>
        <w:pStyle w:val="Prrafodelista"/>
        <w:numPr>
          <w:ilvl w:val="0"/>
          <w:numId w:val="1"/>
        </w:numPr>
        <w:jc w:val="both"/>
        <w:rPr>
          <w:sz w:val="24"/>
          <w:szCs w:val="24"/>
        </w:rPr>
      </w:pPr>
      <w:r w:rsidRPr="005D4B14">
        <w:rPr>
          <w:sz w:val="24"/>
          <w:szCs w:val="24"/>
        </w:rPr>
        <w:t>Ayuno de la Dormición de la Virgen, desde el 14 (1) hasta el 28 (15) de agosto</w:t>
      </w:r>
    </w:p>
    <w:p w:rsidR="005D4B14" w:rsidRPr="000F36F4" w:rsidRDefault="005D4B14" w:rsidP="005D4B14">
      <w:pPr>
        <w:pStyle w:val="Prrafodelista"/>
        <w:numPr>
          <w:ilvl w:val="0"/>
          <w:numId w:val="1"/>
        </w:numPr>
        <w:jc w:val="both"/>
        <w:rPr>
          <w:sz w:val="24"/>
          <w:szCs w:val="24"/>
        </w:rPr>
      </w:pPr>
      <w:r w:rsidRPr="000F36F4">
        <w:rPr>
          <w:sz w:val="24"/>
          <w:szCs w:val="24"/>
        </w:rPr>
        <w:t>Ayuno de Navidad, desde el 28 (15) de noviembre del 2015 al 7 de enero 2016 (25 diciembre 2015)</w:t>
      </w:r>
    </w:p>
    <w:p w:rsidR="005D4B14" w:rsidRPr="000F36F4" w:rsidRDefault="005D4B14" w:rsidP="005D4B14">
      <w:pPr>
        <w:jc w:val="both"/>
        <w:rPr>
          <w:color w:val="FF0000"/>
        </w:rPr>
      </w:pPr>
      <w:proofErr w:type="spellStart"/>
      <w:r w:rsidRPr="000F36F4">
        <w:rPr>
          <w:color w:val="FF0000"/>
        </w:rPr>
        <w:t>Ayunos</w:t>
      </w:r>
      <w:proofErr w:type="spellEnd"/>
      <w:r w:rsidRPr="000F36F4">
        <w:rPr>
          <w:color w:val="FF0000"/>
        </w:rPr>
        <w:t xml:space="preserve"> de </w:t>
      </w:r>
      <w:proofErr w:type="gramStart"/>
      <w:r w:rsidRPr="000F36F4">
        <w:rPr>
          <w:color w:val="FF0000"/>
        </w:rPr>
        <w:t>un</w:t>
      </w:r>
      <w:proofErr w:type="gramEnd"/>
      <w:r w:rsidRPr="000F36F4">
        <w:rPr>
          <w:color w:val="FF0000"/>
        </w:rPr>
        <w:t xml:space="preserve"> </w:t>
      </w:r>
      <w:proofErr w:type="spellStart"/>
      <w:r w:rsidRPr="000F36F4">
        <w:rPr>
          <w:color w:val="FF0000"/>
        </w:rPr>
        <w:t>día</w:t>
      </w:r>
      <w:proofErr w:type="spellEnd"/>
    </w:p>
    <w:p w:rsidR="005D4B14" w:rsidRPr="000F36F4" w:rsidRDefault="005D4B14" w:rsidP="005D4B14">
      <w:pPr>
        <w:pStyle w:val="Prrafodelista"/>
        <w:numPr>
          <w:ilvl w:val="0"/>
          <w:numId w:val="1"/>
        </w:numPr>
        <w:jc w:val="both"/>
        <w:rPr>
          <w:sz w:val="24"/>
          <w:szCs w:val="24"/>
        </w:rPr>
      </w:pPr>
      <w:r w:rsidRPr="000F36F4">
        <w:rPr>
          <w:sz w:val="24"/>
          <w:szCs w:val="24"/>
        </w:rPr>
        <w:t>Cada miércoles y viernes, salvo en las semanas que no hay ayuno (ver más abajo)</w:t>
      </w:r>
    </w:p>
    <w:p w:rsidR="005D4B14" w:rsidRPr="000F36F4" w:rsidRDefault="005D4B14" w:rsidP="005D4B14">
      <w:pPr>
        <w:pStyle w:val="Prrafodelista"/>
        <w:numPr>
          <w:ilvl w:val="0"/>
          <w:numId w:val="1"/>
        </w:numPr>
        <w:jc w:val="both"/>
        <w:rPr>
          <w:sz w:val="24"/>
          <w:szCs w:val="24"/>
        </w:rPr>
      </w:pPr>
      <w:r w:rsidRPr="000F36F4">
        <w:rPr>
          <w:sz w:val="24"/>
          <w:szCs w:val="24"/>
        </w:rPr>
        <w:t>Nochebuena de Teofanía, 18 (5) enero</w:t>
      </w:r>
    </w:p>
    <w:p w:rsidR="005D4B14" w:rsidRPr="000F36F4" w:rsidRDefault="005D4B14" w:rsidP="005D4B14">
      <w:pPr>
        <w:pStyle w:val="Prrafodelista"/>
        <w:numPr>
          <w:ilvl w:val="0"/>
          <w:numId w:val="1"/>
        </w:numPr>
        <w:jc w:val="both"/>
        <w:rPr>
          <w:sz w:val="24"/>
          <w:szCs w:val="24"/>
        </w:rPr>
      </w:pPr>
      <w:r w:rsidRPr="000F36F4">
        <w:rPr>
          <w:sz w:val="24"/>
          <w:szCs w:val="24"/>
        </w:rPr>
        <w:t>Decapitación de San Juan Bautista, 11 de septiembre (29 agosto)</w:t>
      </w:r>
    </w:p>
    <w:p w:rsidR="005D4B14" w:rsidRPr="000F36F4" w:rsidRDefault="005D4B14" w:rsidP="005D4B14">
      <w:pPr>
        <w:pStyle w:val="Prrafodelista"/>
        <w:numPr>
          <w:ilvl w:val="0"/>
          <w:numId w:val="1"/>
        </w:numPr>
        <w:jc w:val="both"/>
        <w:rPr>
          <w:sz w:val="24"/>
          <w:szCs w:val="24"/>
        </w:rPr>
      </w:pPr>
      <w:r w:rsidRPr="000F36F4">
        <w:rPr>
          <w:sz w:val="24"/>
          <w:szCs w:val="24"/>
        </w:rPr>
        <w:t>Exaltación de la Venerable Cruz, 27 (14) de septiembre</w:t>
      </w:r>
    </w:p>
    <w:p w:rsidR="005D4B14" w:rsidRPr="000F36F4" w:rsidRDefault="005D4B14" w:rsidP="005D4B14">
      <w:pPr>
        <w:jc w:val="both"/>
        <w:rPr>
          <w:color w:val="FF0000"/>
        </w:rPr>
      </w:pPr>
      <w:proofErr w:type="spellStart"/>
      <w:r w:rsidRPr="000F36F4">
        <w:rPr>
          <w:color w:val="FF0000"/>
        </w:rPr>
        <w:t>Semanas</w:t>
      </w:r>
      <w:proofErr w:type="spellEnd"/>
      <w:r w:rsidRPr="000F36F4">
        <w:rPr>
          <w:color w:val="FF0000"/>
        </w:rPr>
        <w:t xml:space="preserve"> que no hay </w:t>
      </w:r>
      <w:proofErr w:type="spellStart"/>
      <w:r w:rsidRPr="000F36F4">
        <w:rPr>
          <w:color w:val="FF0000"/>
        </w:rPr>
        <w:t>ayuno</w:t>
      </w:r>
      <w:proofErr w:type="spellEnd"/>
    </w:p>
    <w:p w:rsidR="005D4B14" w:rsidRDefault="005D4B14" w:rsidP="005D4B14">
      <w:pPr>
        <w:pStyle w:val="Prrafodelista"/>
        <w:numPr>
          <w:ilvl w:val="0"/>
          <w:numId w:val="1"/>
        </w:numPr>
        <w:jc w:val="both"/>
        <w:rPr>
          <w:sz w:val="24"/>
          <w:szCs w:val="24"/>
        </w:rPr>
      </w:pPr>
      <w:r w:rsidRPr="005D4B14">
        <w:rPr>
          <w:sz w:val="24"/>
          <w:szCs w:val="24"/>
        </w:rPr>
        <w:t>Desde el Domi</w:t>
      </w:r>
      <w:r>
        <w:rPr>
          <w:sz w:val="24"/>
          <w:szCs w:val="24"/>
        </w:rPr>
        <w:t>ngo del Fariseo y el Publicano (Antes de la Gran Cuaresma)</w:t>
      </w:r>
    </w:p>
    <w:p w:rsidR="005D4B14" w:rsidRPr="005D4B14" w:rsidRDefault="005D4B14" w:rsidP="005D4B14">
      <w:pPr>
        <w:pStyle w:val="Prrafodelista"/>
        <w:numPr>
          <w:ilvl w:val="0"/>
          <w:numId w:val="1"/>
        </w:numPr>
        <w:jc w:val="both"/>
        <w:rPr>
          <w:sz w:val="24"/>
          <w:szCs w:val="24"/>
        </w:rPr>
      </w:pPr>
      <w:r w:rsidRPr="005D4B14">
        <w:rPr>
          <w:sz w:val="24"/>
          <w:szCs w:val="24"/>
        </w:rPr>
        <w:t xml:space="preserve">Semana del queso </w:t>
      </w:r>
      <w:r>
        <w:rPr>
          <w:sz w:val="24"/>
          <w:szCs w:val="24"/>
        </w:rPr>
        <w:t xml:space="preserve">(Antes de la Gran Cuaresma) </w:t>
      </w:r>
      <w:r w:rsidRPr="005D4B14">
        <w:rPr>
          <w:sz w:val="24"/>
          <w:szCs w:val="24"/>
        </w:rPr>
        <w:t>(en esta semana no se permite carne pero sí se permiten productos lácteos)</w:t>
      </w:r>
    </w:p>
    <w:p w:rsidR="005D4B14" w:rsidRPr="000F36F4" w:rsidRDefault="005D4B14" w:rsidP="005D4B14">
      <w:pPr>
        <w:pStyle w:val="Prrafodelista"/>
        <w:numPr>
          <w:ilvl w:val="0"/>
          <w:numId w:val="1"/>
        </w:numPr>
        <w:jc w:val="both"/>
        <w:rPr>
          <w:sz w:val="24"/>
          <w:szCs w:val="24"/>
        </w:rPr>
      </w:pPr>
      <w:r>
        <w:rPr>
          <w:sz w:val="24"/>
          <w:szCs w:val="24"/>
        </w:rPr>
        <w:t>Semana Radiante (La semana Pascual)</w:t>
      </w:r>
    </w:p>
    <w:p w:rsidR="005D4B14" w:rsidRDefault="005D4B14" w:rsidP="005D4B14">
      <w:pPr>
        <w:pStyle w:val="Prrafodelista"/>
        <w:numPr>
          <w:ilvl w:val="0"/>
          <w:numId w:val="1"/>
        </w:numPr>
        <w:jc w:val="both"/>
        <w:rPr>
          <w:sz w:val="24"/>
          <w:szCs w:val="24"/>
        </w:rPr>
      </w:pPr>
      <w:r>
        <w:rPr>
          <w:sz w:val="24"/>
          <w:szCs w:val="24"/>
        </w:rPr>
        <w:t xml:space="preserve">Semana después de Pentecostés </w:t>
      </w:r>
    </w:p>
    <w:p w:rsidR="005D4B14" w:rsidRDefault="005D4B14" w:rsidP="005D4B14">
      <w:pPr>
        <w:pStyle w:val="Prrafodelista"/>
        <w:numPr>
          <w:ilvl w:val="0"/>
          <w:numId w:val="1"/>
        </w:numPr>
        <w:jc w:val="both"/>
        <w:rPr>
          <w:sz w:val="24"/>
          <w:szCs w:val="24"/>
        </w:rPr>
      </w:pPr>
      <w:r w:rsidRPr="005D4B14">
        <w:rPr>
          <w:sz w:val="24"/>
          <w:szCs w:val="24"/>
        </w:rPr>
        <w:t>Navidad, desde el 7 de enero 2015 (25 de diciembre del 2014) hasta la Nochebuena de Teofanía 18 (5) enero 2015 (exclusive)</w:t>
      </w:r>
    </w:p>
    <w:p w:rsidR="005D4B14" w:rsidRPr="005D4B14" w:rsidRDefault="005D4B14" w:rsidP="005D4B14">
      <w:pPr>
        <w:pStyle w:val="Prrafodelista"/>
        <w:numPr>
          <w:ilvl w:val="0"/>
          <w:numId w:val="1"/>
        </w:numPr>
        <w:jc w:val="both"/>
        <w:rPr>
          <w:sz w:val="24"/>
          <w:szCs w:val="24"/>
        </w:rPr>
      </w:pPr>
    </w:p>
    <w:p w:rsidR="005D4B14" w:rsidRPr="005D4B14" w:rsidRDefault="005D4B14" w:rsidP="005D4B14">
      <w:pPr>
        <w:jc w:val="both"/>
        <w:rPr>
          <w:lang w:val="es-AR"/>
        </w:rPr>
      </w:pPr>
    </w:p>
    <w:p w:rsidR="005D4B14" w:rsidRPr="005D4B14" w:rsidRDefault="005D4B14" w:rsidP="005D4B14">
      <w:pPr>
        <w:jc w:val="center"/>
        <w:rPr>
          <w:rFonts w:ascii="Times New Roman" w:hAnsi="Times New Roman" w:cs="Times New Roman"/>
          <w:color w:val="FF0000"/>
          <w:sz w:val="32"/>
          <w:szCs w:val="32"/>
          <w:lang w:val="es-ES" w:eastAsia="es-ES"/>
        </w:rPr>
      </w:pPr>
      <w:r w:rsidRPr="005D4B14">
        <w:rPr>
          <w:rFonts w:ascii="Times New Roman" w:hAnsi="Times New Roman" w:cs="Times New Roman"/>
          <w:color w:val="FF0000"/>
          <w:sz w:val="32"/>
          <w:szCs w:val="32"/>
          <w:lang w:val="es-AR" w:eastAsia="es-ES"/>
        </w:rPr>
        <w:lastRenderedPageBreak/>
        <w:t>Responsos (</w:t>
      </w:r>
      <w:proofErr w:type="spellStart"/>
      <w:r w:rsidRPr="005D4B14">
        <w:rPr>
          <w:rFonts w:ascii="Times New Roman" w:hAnsi="Times New Roman" w:cs="Times New Roman"/>
          <w:color w:val="FF0000"/>
          <w:sz w:val="32"/>
          <w:szCs w:val="32"/>
          <w:lang w:val="es-AR" w:eastAsia="es-ES"/>
        </w:rPr>
        <w:t>Parastos</w:t>
      </w:r>
      <w:proofErr w:type="spellEnd"/>
      <w:r w:rsidRPr="005D4B14">
        <w:rPr>
          <w:rFonts w:ascii="Times New Roman" w:hAnsi="Times New Roman" w:cs="Times New Roman"/>
          <w:color w:val="FF0000"/>
          <w:sz w:val="32"/>
          <w:szCs w:val="32"/>
          <w:lang w:val="es-AR" w:eastAsia="es-ES"/>
        </w:rPr>
        <w:t>)</w:t>
      </w:r>
      <w:r w:rsidRPr="005D4B14">
        <w:rPr>
          <w:rFonts w:ascii="Times New Roman" w:hAnsi="Times New Roman" w:cs="Times New Roman"/>
          <w:color w:val="FF0000"/>
          <w:sz w:val="32"/>
          <w:szCs w:val="32"/>
          <w:lang w:val="es-ES" w:eastAsia="es-ES"/>
        </w:rPr>
        <w:t xml:space="preserve"> durante el año</w:t>
      </w:r>
    </w:p>
    <w:p w:rsidR="005D4B14" w:rsidRPr="005D4B14" w:rsidRDefault="005D4B14" w:rsidP="005D4B14">
      <w:pPr>
        <w:jc w:val="center"/>
        <w:rPr>
          <w:rFonts w:ascii="Times New Roman" w:hAnsi="Times New Roman" w:cs="Times New Roman"/>
          <w:color w:val="FF0000"/>
          <w:sz w:val="32"/>
          <w:szCs w:val="32"/>
          <w:lang w:val="es-ES" w:eastAsia="es-ES"/>
        </w:rPr>
      </w:pPr>
      <w:proofErr w:type="gramStart"/>
      <w:r w:rsidRPr="005D4B14">
        <w:rPr>
          <w:rFonts w:ascii="Times New Roman" w:hAnsi="Times New Roman" w:cs="Times New Roman"/>
          <w:color w:val="FF0000"/>
          <w:sz w:val="32"/>
          <w:szCs w:val="32"/>
          <w:lang w:val="es-ES" w:eastAsia="es-ES"/>
        </w:rPr>
        <w:t>en</w:t>
      </w:r>
      <w:proofErr w:type="gramEnd"/>
      <w:r w:rsidRPr="005D4B14">
        <w:rPr>
          <w:rFonts w:ascii="Times New Roman" w:hAnsi="Times New Roman" w:cs="Times New Roman"/>
          <w:color w:val="FF0000"/>
          <w:sz w:val="32"/>
          <w:szCs w:val="32"/>
          <w:lang w:val="es-ES" w:eastAsia="es-ES"/>
        </w:rPr>
        <w:t xml:space="preserve"> todos los templos de la Iglesia Ortodoxa Serbia:</w:t>
      </w:r>
    </w:p>
    <w:p w:rsidR="005D4B14" w:rsidRPr="000F36F4" w:rsidRDefault="005D4B14" w:rsidP="005D4B14">
      <w:pPr>
        <w:rPr>
          <w:color w:val="222222"/>
          <w:lang w:val="es-ES" w:eastAsia="es-ES"/>
        </w:rPr>
      </w:pPr>
      <w:r w:rsidRPr="000F36F4">
        <w:rPr>
          <w:color w:val="222222"/>
          <w:lang w:val="es-ES" w:eastAsia="es-ES"/>
        </w:rPr>
        <w:br/>
        <w:t>- 24 marzo: por las víctimas del bombardeo de la OTAN;</w:t>
      </w:r>
    </w:p>
    <w:p w:rsidR="005D4B14" w:rsidRPr="000F36F4" w:rsidRDefault="005D4B14" w:rsidP="005D4B14">
      <w:pPr>
        <w:rPr>
          <w:color w:val="222222"/>
          <w:lang w:val="es-ES" w:eastAsia="es-ES"/>
        </w:rPr>
      </w:pPr>
      <w:r w:rsidRPr="000F36F4">
        <w:rPr>
          <w:color w:val="222222"/>
          <w:lang w:val="es-ES" w:eastAsia="es-ES"/>
        </w:rPr>
        <w:t xml:space="preserve">- 22 Abril: por los asesinados en </w:t>
      </w:r>
      <w:proofErr w:type="spellStart"/>
      <w:r w:rsidRPr="000F36F4">
        <w:rPr>
          <w:color w:val="222222"/>
          <w:lang w:val="es-ES" w:eastAsia="es-ES"/>
        </w:rPr>
        <w:t>Jasenovac</w:t>
      </w:r>
      <w:proofErr w:type="spellEnd"/>
      <w:r w:rsidRPr="000F36F4">
        <w:rPr>
          <w:color w:val="222222"/>
          <w:lang w:val="es-ES" w:eastAsia="es-ES"/>
        </w:rPr>
        <w:t xml:space="preserve"> y otros campos de concentración y de muerte en la Segunda Guerra Mundial;</w:t>
      </w:r>
    </w:p>
    <w:p w:rsidR="005D4B14" w:rsidRPr="000F36F4" w:rsidRDefault="005D4B14" w:rsidP="005D4B14">
      <w:pPr>
        <w:rPr>
          <w:color w:val="222222"/>
          <w:lang w:val="es-ES" w:eastAsia="es-ES"/>
        </w:rPr>
      </w:pPr>
      <w:r w:rsidRPr="000F36F4">
        <w:rPr>
          <w:color w:val="222222"/>
          <w:lang w:val="es-ES" w:eastAsia="es-ES"/>
        </w:rPr>
        <w:t>- 28 Junio: por los soldados y comandantes muertos, desde la batalla de Kosovo hasta la actualidad.</w:t>
      </w:r>
    </w:p>
    <w:p w:rsidR="005D4B14" w:rsidRDefault="005D4B14" w:rsidP="005D4B14">
      <w:pPr>
        <w:rPr>
          <w:color w:val="222222"/>
          <w:lang w:val="es-ES" w:eastAsia="es-ES"/>
        </w:rPr>
      </w:pPr>
    </w:p>
    <w:p w:rsidR="006E157F" w:rsidRDefault="006E157F" w:rsidP="005D4B14">
      <w:pPr>
        <w:rPr>
          <w:color w:val="222222"/>
          <w:lang w:val="es-ES" w:eastAsia="es-ES"/>
        </w:rPr>
      </w:pPr>
    </w:p>
    <w:p w:rsidR="006E157F" w:rsidRDefault="006E157F" w:rsidP="006E157F">
      <w:pPr>
        <w:widowControl w:val="0"/>
        <w:spacing w:after="120" w:line="285" w:lineRule="auto"/>
        <w:jc w:val="center"/>
        <w:rPr>
          <w:rFonts w:ascii="Calibri" w:hAnsi="Calibri" w:cs="Times New Roman"/>
          <w:color w:val="000000"/>
          <w:kern w:val="28"/>
          <w:sz w:val="20"/>
          <w:szCs w:val="20"/>
          <w:lang w:eastAsia="es-AR"/>
          <w14:cntxtAlts/>
        </w:rPr>
      </w:pPr>
      <w:r>
        <w:rPr>
          <w:rFonts w:ascii="Calibri" w:hAnsi="Calibri" w:cs="Times New Roman"/>
          <w:color w:val="000000"/>
          <w:kern w:val="28"/>
          <w:sz w:val="20"/>
          <w:szCs w:val="20"/>
          <w:lang w:eastAsia="es-AR"/>
          <w14:cntxtAlts/>
        </w:rPr>
        <w:t>_______________________</w:t>
      </w:r>
    </w:p>
    <w:p w:rsidR="006E157F" w:rsidRPr="00CD0734" w:rsidRDefault="006E157F" w:rsidP="006E157F">
      <w:pPr>
        <w:widowControl w:val="0"/>
        <w:spacing w:after="120" w:line="285" w:lineRule="auto"/>
        <w:jc w:val="center"/>
        <w:rPr>
          <w:rFonts w:ascii="Calibri" w:hAnsi="Calibri" w:cs="Times New Roman"/>
          <w:i/>
          <w:color w:val="000000"/>
          <w:kern w:val="28"/>
          <w:sz w:val="20"/>
          <w:szCs w:val="20"/>
          <w:lang w:eastAsia="es-AR"/>
          <w14:cntxtAlts/>
        </w:rPr>
      </w:pPr>
      <w:r>
        <w:rPr>
          <w:rFonts w:ascii="Calibri" w:hAnsi="Calibri" w:cs="Times New Roman"/>
          <w:noProof/>
          <w:color w:val="000000"/>
          <w:kern w:val="28"/>
          <w:sz w:val="20"/>
          <w:szCs w:val="20"/>
          <w:lang w:eastAsia="es-AR"/>
        </w:rPr>
        <w:drawing>
          <wp:inline distT="0" distB="0" distL="0" distR="0" wp14:anchorId="400CD793" wp14:editId="47B6FDE4">
            <wp:extent cx="409433" cy="430702"/>
            <wp:effectExtent l="0" t="0" r="0" b="762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glesia Serbi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9659" cy="430940"/>
                    </a:xfrm>
                    <a:prstGeom prst="rect">
                      <a:avLst/>
                    </a:prstGeom>
                  </pic:spPr>
                </pic:pic>
              </a:graphicData>
            </a:graphic>
          </wp:inline>
        </w:drawing>
      </w:r>
    </w:p>
    <w:p w:rsidR="006E157F" w:rsidRPr="006E157F" w:rsidRDefault="006E157F" w:rsidP="006E157F">
      <w:pPr>
        <w:widowControl w:val="0"/>
        <w:spacing w:after="120"/>
        <w:jc w:val="center"/>
        <w:rPr>
          <w:rFonts w:ascii="Times New Roman" w:hAnsi="Times New Roman" w:cs="Times New Roman"/>
          <w:i/>
          <w:color w:val="000000"/>
          <w:kern w:val="28"/>
          <w:sz w:val="20"/>
          <w:szCs w:val="20"/>
          <w:lang w:val="es-AR" w:eastAsia="es-AR"/>
          <w14:cntxtAlts/>
        </w:rPr>
      </w:pPr>
      <w:r w:rsidRPr="006E157F">
        <w:rPr>
          <w:rFonts w:ascii="Times New Roman" w:hAnsi="Times New Roman" w:cs="Times New Roman"/>
          <w:i/>
          <w:color w:val="000000"/>
          <w:kern w:val="28"/>
          <w:sz w:val="20"/>
          <w:szCs w:val="20"/>
          <w:lang w:val="es-AR" w:eastAsia="es-AR"/>
          <w14:cntxtAlts/>
        </w:rPr>
        <w:t>Publicación de la Diócesis de Buenos Aires,</w:t>
      </w:r>
    </w:p>
    <w:p w:rsidR="006E157F" w:rsidRPr="006E157F" w:rsidRDefault="006E157F" w:rsidP="006E157F">
      <w:pPr>
        <w:widowControl w:val="0"/>
        <w:spacing w:after="120"/>
        <w:jc w:val="center"/>
        <w:rPr>
          <w:rFonts w:ascii="Times New Roman" w:hAnsi="Times New Roman" w:cs="Times New Roman"/>
          <w:i/>
          <w:color w:val="000000"/>
          <w:kern w:val="28"/>
          <w:sz w:val="20"/>
          <w:szCs w:val="20"/>
          <w:lang w:val="es-AR" w:eastAsia="es-AR"/>
          <w14:cntxtAlts/>
        </w:rPr>
      </w:pPr>
      <w:r w:rsidRPr="006E157F">
        <w:rPr>
          <w:rFonts w:ascii="Times New Roman" w:hAnsi="Times New Roman" w:cs="Times New Roman"/>
          <w:i/>
          <w:color w:val="000000"/>
          <w:kern w:val="28"/>
          <w:sz w:val="20"/>
          <w:szCs w:val="20"/>
          <w:lang w:val="es-AR" w:eastAsia="es-AR"/>
          <w14:cntxtAlts/>
        </w:rPr>
        <w:t>Sudamérica y Centroamérica</w:t>
      </w:r>
    </w:p>
    <w:p w:rsidR="006E157F" w:rsidRPr="006E157F" w:rsidRDefault="006E157F" w:rsidP="006E157F">
      <w:pPr>
        <w:widowControl w:val="0"/>
        <w:spacing w:after="120"/>
        <w:jc w:val="center"/>
        <w:rPr>
          <w:rFonts w:ascii="Calibri" w:hAnsi="Calibri" w:cs="Times New Roman"/>
          <w:i/>
          <w:color w:val="000000"/>
          <w:kern w:val="28"/>
          <w:sz w:val="20"/>
          <w:szCs w:val="20"/>
          <w:lang w:val="es-AR" w:eastAsia="es-AR"/>
          <w14:cntxtAlts/>
        </w:rPr>
      </w:pPr>
      <w:r w:rsidRPr="006E157F">
        <w:rPr>
          <w:rFonts w:ascii="Times New Roman" w:hAnsi="Times New Roman" w:cs="Times New Roman"/>
          <w:i/>
          <w:color w:val="000000"/>
          <w:kern w:val="28"/>
          <w:sz w:val="20"/>
          <w:szCs w:val="20"/>
          <w:lang w:val="es-AR" w:eastAsia="es-AR"/>
          <w14:cntxtAlts/>
        </w:rPr>
        <w:t>Iglesia Ortodoxa del Patriarcado de Serbia</w:t>
      </w:r>
    </w:p>
    <w:p w:rsidR="006E157F" w:rsidRDefault="006E157F" w:rsidP="006E157F">
      <w:pPr>
        <w:pStyle w:val="NormalWeb"/>
        <w:shd w:val="clear" w:color="auto" w:fill="FFFFFF"/>
        <w:spacing w:before="0" w:beforeAutospacing="0" w:after="0" w:afterAutospacing="0"/>
        <w:ind w:firstLine="708"/>
        <w:jc w:val="both"/>
        <w:rPr>
          <w:rFonts w:ascii="Arial" w:hAnsi="Arial" w:cs="Arial"/>
          <w:b/>
          <w:color w:val="252525"/>
        </w:rPr>
      </w:pPr>
    </w:p>
    <w:p w:rsidR="006E157F" w:rsidRPr="006E157F" w:rsidRDefault="006E157F" w:rsidP="006E157F">
      <w:pPr>
        <w:shd w:val="clear" w:color="auto" w:fill="FFFFFF"/>
        <w:jc w:val="both"/>
        <w:outlineLvl w:val="2"/>
        <w:rPr>
          <w:rFonts w:ascii="Arial" w:hAnsi="Arial" w:cs="Arial"/>
          <w:bCs/>
          <w:color w:val="000000"/>
          <w:lang w:val="es-AR" w:eastAsia="es-AR"/>
        </w:rPr>
      </w:pPr>
    </w:p>
    <w:p w:rsidR="006E157F" w:rsidRPr="006E157F" w:rsidRDefault="006E157F" w:rsidP="005D4B14">
      <w:pPr>
        <w:rPr>
          <w:color w:val="222222"/>
          <w:lang w:val="es-AR" w:eastAsia="es-ES"/>
        </w:rPr>
      </w:pPr>
      <w:bookmarkStart w:id="0" w:name="_GoBack"/>
      <w:bookmarkEnd w:id="0"/>
    </w:p>
    <w:p w:rsidR="005D4B14" w:rsidRPr="005D4B14" w:rsidRDefault="005D4B14" w:rsidP="005D4B14">
      <w:pPr>
        <w:rPr>
          <w:rFonts w:ascii="Times New Roman" w:hAnsi="Times New Roman"/>
          <w:lang w:val="es-AR"/>
        </w:rPr>
      </w:pPr>
    </w:p>
    <w:p w:rsidR="00D37C3C" w:rsidRPr="005D4B14" w:rsidRDefault="00D37C3C" w:rsidP="005D4B14">
      <w:pPr>
        <w:rPr>
          <w:lang w:val="es-AR"/>
        </w:rPr>
      </w:pPr>
    </w:p>
    <w:sectPr w:rsidR="00D37C3C" w:rsidRPr="005D4B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727194"/>
    <w:multiLevelType w:val="hybridMultilevel"/>
    <w:tmpl w:val="77321AC4"/>
    <w:lvl w:ilvl="0" w:tplc="278A3480">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4"/>
    <w:rsid w:val="005D4B14"/>
    <w:rsid w:val="006E157F"/>
    <w:rsid w:val="00D37C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14"/>
    <w:pPr>
      <w:overflowPunct w:val="0"/>
      <w:autoSpaceDE w:val="0"/>
      <w:autoSpaceDN w:val="0"/>
      <w:adjustRightInd w:val="0"/>
      <w:ind w:firstLine="0"/>
      <w:jc w:val="left"/>
      <w:textAlignment w:val="baseline"/>
    </w:pPr>
    <w:rPr>
      <w:rFonts w:ascii="CTimesRoman" w:eastAsia="Times New Roman" w:hAnsi="CTimesRoman" w:cs="CTimes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B14"/>
    <w:pPr>
      <w:overflowPunct/>
      <w:autoSpaceDE/>
      <w:autoSpaceDN/>
      <w:adjustRightInd/>
      <w:spacing w:after="200" w:line="276" w:lineRule="auto"/>
      <w:ind w:left="720"/>
      <w:contextualSpacing/>
      <w:textAlignment w:val="auto"/>
    </w:pPr>
    <w:rPr>
      <w:rFonts w:ascii="Calibri" w:eastAsia="Calibri" w:hAnsi="Calibri" w:cs="Times New Roman"/>
      <w:sz w:val="22"/>
      <w:szCs w:val="22"/>
      <w:lang w:val="es-AR"/>
    </w:rPr>
  </w:style>
  <w:style w:type="paragraph" w:styleId="NormalWeb">
    <w:name w:val="Normal (Web)"/>
    <w:basedOn w:val="Normal"/>
    <w:uiPriority w:val="99"/>
    <w:unhideWhenUsed/>
    <w:rsid w:val="006E157F"/>
    <w:pPr>
      <w:overflowPunct/>
      <w:autoSpaceDE/>
      <w:autoSpaceDN/>
      <w:adjustRightInd/>
      <w:spacing w:before="100" w:beforeAutospacing="1" w:after="100" w:afterAutospacing="1"/>
      <w:textAlignment w:val="auto"/>
    </w:pPr>
    <w:rPr>
      <w:rFonts w:ascii="Times New Roman" w:hAnsi="Times New Roman" w:cs="Times New Roman"/>
      <w:lang w:val="es-AR" w:eastAsia="es-AR"/>
    </w:rPr>
  </w:style>
  <w:style w:type="paragraph" w:styleId="Textodeglobo">
    <w:name w:val="Balloon Text"/>
    <w:basedOn w:val="Normal"/>
    <w:link w:val="TextodegloboCar"/>
    <w:uiPriority w:val="99"/>
    <w:semiHidden/>
    <w:unhideWhenUsed/>
    <w:rsid w:val="006E157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57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14"/>
    <w:pPr>
      <w:overflowPunct w:val="0"/>
      <w:autoSpaceDE w:val="0"/>
      <w:autoSpaceDN w:val="0"/>
      <w:adjustRightInd w:val="0"/>
      <w:ind w:firstLine="0"/>
      <w:jc w:val="left"/>
      <w:textAlignment w:val="baseline"/>
    </w:pPr>
    <w:rPr>
      <w:rFonts w:ascii="CTimesRoman" w:eastAsia="Times New Roman" w:hAnsi="CTimesRoman" w:cs="CTimes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B14"/>
    <w:pPr>
      <w:overflowPunct/>
      <w:autoSpaceDE/>
      <w:autoSpaceDN/>
      <w:adjustRightInd/>
      <w:spacing w:after="200" w:line="276" w:lineRule="auto"/>
      <w:ind w:left="720"/>
      <w:contextualSpacing/>
      <w:textAlignment w:val="auto"/>
    </w:pPr>
    <w:rPr>
      <w:rFonts w:ascii="Calibri" w:eastAsia="Calibri" w:hAnsi="Calibri" w:cs="Times New Roman"/>
      <w:sz w:val="22"/>
      <w:szCs w:val="22"/>
      <w:lang w:val="es-AR"/>
    </w:rPr>
  </w:style>
  <w:style w:type="paragraph" w:styleId="NormalWeb">
    <w:name w:val="Normal (Web)"/>
    <w:basedOn w:val="Normal"/>
    <w:uiPriority w:val="99"/>
    <w:unhideWhenUsed/>
    <w:rsid w:val="006E157F"/>
    <w:pPr>
      <w:overflowPunct/>
      <w:autoSpaceDE/>
      <w:autoSpaceDN/>
      <w:adjustRightInd/>
      <w:spacing w:before="100" w:beforeAutospacing="1" w:after="100" w:afterAutospacing="1"/>
      <w:textAlignment w:val="auto"/>
    </w:pPr>
    <w:rPr>
      <w:rFonts w:ascii="Times New Roman" w:hAnsi="Times New Roman" w:cs="Times New Roman"/>
      <w:lang w:val="es-AR" w:eastAsia="es-AR"/>
    </w:rPr>
  </w:style>
  <w:style w:type="paragraph" w:styleId="Textodeglobo">
    <w:name w:val="Balloon Text"/>
    <w:basedOn w:val="Normal"/>
    <w:link w:val="TextodegloboCar"/>
    <w:uiPriority w:val="99"/>
    <w:semiHidden/>
    <w:unhideWhenUsed/>
    <w:rsid w:val="006E157F"/>
    <w:rPr>
      <w:rFonts w:ascii="Tahoma" w:hAnsi="Tahoma" w:cs="Tahoma"/>
      <w:sz w:val="16"/>
      <w:szCs w:val="16"/>
    </w:rPr>
  </w:style>
  <w:style w:type="character" w:customStyle="1" w:styleId="TextodegloboCar">
    <w:name w:val="Texto de globo Car"/>
    <w:basedOn w:val="Fuentedeprrafopredeter"/>
    <w:link w:val="Textodeglobo"/>
    <w:uiPriority w:val="99"/>
    <w:semiHidden/>
    <w:rsid w:val="006E157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2262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Popadija</dc:creator>
  <cp:lastModifiedBy>Popadija</cp:lastModifiedBy>
  <cp:revision>2</cp:revision>
  <dcterms:created xsi:type="dcterms:W3CDTF">2015-11-18T13:32:00Z</dcterms:created>
  <dcterms:modified xsi:type="dcterms:W3CDTF">2016-02-09T00:04:00Z</dcterms:modified>
</cp:coreProperties>
</file>